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93541" w:rsidTr="00D9084E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3541" w:rsidRDefault="00893541" w:rsidP="00D908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2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2 Register 9</w:t>
            </w:r>
          </w:p>
          <w:p w:rsidR="00893541" w:rsidRPr="004B0058" w:rsidRDefault="00893541" w:rsidP="00D908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Auszug gesetzliche Aufbewahrungsfristen</w:t>
            </w:r>
          </w:p>
        </w:tc>
      </w:tr>
    </w:tbl>
    <w:p w:rsidR="00893541" w:rsidRPr="00B717CA" w:rsidRDefault="00893541" w:rsidP="00893541">
      <w:pPr>
        <w:rPr>
          <w:sz w:val="22"/>
          <w:szCs w:val="22"/>
        </w:rPr>
      </w:pPr>
    </w:p>
    <w:p w:rsidR="00027D73" w:rsidRDefault="000343C1" w:rsidP="00636A51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Dieser Auszug hat keinen Anspruch auf Vollständigkeit. Für einzelne Vorgänge bitten wie Sie die benötigten Informationen direkt von der Sachbearbeitenden Stelle abzufragen.</w:t>
      </w:r>
    </w:p>
    <w:p w:rsidR="000343C1" w:rsidRDefault="000343C1" w:rsidP="00636A51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120"/>
      </w:tblGrid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  <w:t>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  <w:t>Aufbewahrungsfrist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de-DE" w:bidi="ar-SA"/>
              </w:rPr>
              <w:t>Rechtsgrundlage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Abrechnungsunterlagen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Abtretungserklärungen, soweit erledigt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Änderungsnachweise der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Akkreditive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Aktenvermerke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Angebote mit Auftragsfolge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Angestelltenversicherung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(wenn Buchungsbelege)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Anhang zum Jahresabschluss (§ 264 HGB)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Anlagenvermögensbücher- und Karteien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Anträge auf Arbeitnehmersparzulage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Aufzeichnungspflicht Arbeitgeber bezüglich der Arbeitszeit von mehr als 8 Stunden werktägig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2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16 Abs. 2 ArbZG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Arbeitsanweisungen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(auch für EDV-Buchführung)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Aufbewahrungsvorschriften für betriebliche EDV-Dokumentation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Aufzeichnungen über ärztliche Behandlungen (Z.B. Patientendaten, Anamnese, Befund, Diagnose)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630f Abs. 3 BGB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Ausgangsrechnungen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Außendienstabrechnungen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(wenn Buchungsbeleg)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Außendienstabrechnungen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(wenn sonstiger Beleg)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Bankbelege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Bankbürgschaften nach Vertragsende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Bedienerhandbücher Rechnerbetrieb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Belegformate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Beitragsabrechnungen zu Sozialversicherungsträgen,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 xml:space="preserve">Belege, soweit Buchungsfunktion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(Offene-Posten-Buchhaltung)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Sonstige Beitragsabrechnungen des Arbeitgebers mit Sozialversicherungsträgern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Ablauf des auf die letzte Prüfung folgenden Kalenderjahres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28f Abs. 1 SGB IV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Benutzerhandbücher bei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Betriebsabrechnungsbögen mit Belegen als Bewertungsgrundlagen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Betriebsabrechnungsbögen mit Belegen als Bewertungsgrundlagen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Betriebskostenrechnungen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Betriebsprüfungsberichte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(steuerliche Außenprüfung)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Online-Bewerbungen auf Anzeige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Normalerweise 2 Monate nach Absage zulässig ohne Einwilligung (Bewerber müssen gem. Art 13 DSGVO bei Eingang über Dauer informiert werden)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26 BDSG, § 15 Abs. 4 AGG, Art. 13 DSGVO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Bewertungsunterlagen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Bewirtungsunterlagen (Formblatt, wenn Buchungsbelege oder steuerlich erforderlich)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Bilanzen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(auch Eröffnungsbilanz)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Blockdiagramme, soweit Verfahrensdokumentation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Darlehensunterlagen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(nach Vertragsende)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Darlehensunterlagen als Buchungsbeleg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Dauerauftragsunterlagen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(nach Ablauf des Auftrags)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Dateien, Beschreibungen der</w:t>
            </w:r>
            <w:r w:rsidR="005E11C5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Dateiverzeichnisse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Datensätze, Beschreibung und Aufbau der</w:t>
            </w:r>
            <w:r w:rsidR="005E11C5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Dateisicherungsregel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Debitorenliste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(soweit Bilanzunterlage)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Depotauszüge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(soweit nicht Inventare)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Einfuhrunterlagen (Anträge, Genehmigungen, Erklärungen, Lizenzen, Zollunterlagen etc.)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Eingabebeschreibungen bei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Eingabedatenformate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Eingangsrechnungen einschließlich Berichtigungsbelege dazu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Einheitswertunterlagen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E-Mails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(Geschäftsbriefe)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E-Mails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(Buchungsbelege wie Rechnungen)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E-Mails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(Mahnungen)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Essensmarkenabrechnungen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Exportunterlagen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Fahrtkostenerstattungsunterlagen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Faxe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(Geschäftsbriefe)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Faxe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(Buchungsbelege)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Fehlermeldungen, Fehlerkorrekturanweisung bei EDV-Buchführung,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Frachtbriefe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Gehaltslisten einschließlich Listen für Sonderzahlungen soweit Buchungsbeleg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Geschäftsberichte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Geschäftsbriefe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(zugegangene und Wiedergabe versandter),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Geschäftsbriefe als Buchungsbeleg wie z.B. Rechnungen und Gutschriften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Geschenknachweise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Gewinn- und Verlustrechnung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(nur Jahreserfolgsrechnungen)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Grundbuchauszüge, wenn Inventurunterlagen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Grundstücksverzeichnis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(soweit Inventar)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Gutschriften im Sinne von "umgekehrten Rechnungen"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Handelsbriefe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(außer Rechnungen oder Gutschriften)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Handelsbücher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Handelsregisterauszüge, beglaubigte oder soweit im eigenen Interesse erforderlich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Hauptabschlussübersicht beglaubigte oder soweit im eigenen Interesse erforderlich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1452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Initiativbewerbungen per Post</w:t>
            </w:r>
          </w:p>
        </w:tc>
        <w:tc>
          <w:tcPr>
            <w:tcW w:w="2551" w:type="dxa"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2 Monate nach Absage zulässig ohne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 xml:space="preserve">Einwilligung (Bewerber müssen gem. Art 13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 xml:space="preserve">DSGVO bei Eingang über Dauer informiert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 xml:space="preserve">werden), ab Eingang etwa maximal 3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>Monate ohne Einwilligung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26 BDSG, § 15 Abs. 4 AGG, Art. 13 DSGVO</w:t>
            </w:r>
          </w:p>
        </w:tc>
      </w:tr>
      <w:tr w:rsidR="00D9084E" w:rsidRPr="00D9084E" w:rsidTr="00D9084E">
        <w:trPr>
          <w:trHeight w:val="1440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Initiative Online-Bewerbungen</w:t>
            </w:r>
          </w:p>
        </w:tc>
        <w:tc>
          <w:tcPr>
            <w:tcW w:w="2551" w:type="dxa"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Normalerweise 2 Monate nach Absage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 xml:space="preserve">ohne Einwilligung (Bewerber müssen gem.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>Art 13 DSGVO bei Eingang über Dauer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 xml:space="preserve"> informiert werden), ab Eingang etwa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>maximal drei Monate ohne Einwilligung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26 BDSG, § 15 Abs. 4 AGG, Art. 13 DSGVO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Inventare (§ 240 HGB)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Investitionszulage (Unterlagen)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Jahresabschluss mit Erläuterungen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Journale für Hauptbuch oder Kontokorrent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576"/>
        </w:trPr>
        <w:tc>
          <w:tcPr>
            <w:tcW w:w="4957" w:type="dxa"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Kalkulation und Kalkulationsunterlagen, wenn handels- oder steuerrechtlich relevant </w:t>
            </w: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>z.B. für Vorratsbewertung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Kassenberichte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Kassenbücher/-blätter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Kassenzettel, (nicht erforderlich, wenn </w:t>
            </w:r>
            <w:proofErr w:type="spellStart"/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Tagessummenbons</w:t>
            </w:r>
            <w:proofErr w:type="spellEnd"/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aufbewahrt werden)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Kontenpläne und Kontenplanänderungen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Kontenregister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Kontoauszüge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Konzernabschluss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(§ 290 HGB)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Konzernlagebericht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(§§ 290, 350 HGB)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Kreditunterlagen, wenn Korrespondenz,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Kreditunterlagen, wenn Buchungsbeleg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Lageberichte, wenn Bilanzunterlagen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Lagerbuchführungen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Lieferscheine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Lieferscheine, sofern als Belegnachweis vor allem im Zusammenhang mit einer Rechnung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Lohnbelege als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Lohnlisten für Zwischen-, End- und Sonderzahlungen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Magnetbänder, wenn Grundbuch oder Konten- oder Belegfunktion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Mahnbescheide und Mahnungen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Mietunterlagen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(nach Vertragsende), soweit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Nachnahmebelege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Nebenbücher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Online-Rechnungen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Organisationsunterlagen der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Pachtunterlagen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(nach Vertragsende), soweit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Postgiroauszüge und Belege,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Preislisten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Preislisten, wenn Bewertungs- oder Buchungsunterlagen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Programmablaufbeschreibungen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Programmverzeichnisse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Protokolle, als Handelsbrief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Prozessakten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Prüfungsberichte des Abschlussprüfers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Quittungen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Rechnungen an Unternehmer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Reisekostenabrechnung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Repräsentationsaufwendungen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(Unterlagen)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Aufzeichnungen über Röntgenbehandlungen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30 Jahre nach der letzten Behandlung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28 Abs. 3 RöV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Aufzeichnungen über Röntgenuntersuchungen und Röntgenbilder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28 Abs. 3 RöV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Sachkonten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Saldenbilanzen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Schadensunterlagen, wenn Bilanzunterlagen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Scheck- und Wechselunterlagen,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als Buchungsbeleg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Schriftwechsel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Speicherbelegungsplan der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Spendenbescheinigungen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Steuererklärungen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Steuerbescheide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Telefonkostennachweise,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Überstundenlisten, wenn Lohnbelege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0343C1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Verbindlichkeiten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(Zusammenstellungen)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Verkaufsbücher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Vermögensverzeichnis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Versand- und Frachtunterlagen,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Versicherungspolicen,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nach Ablauf der Versicherung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6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Verträge, sonstige, soweit handels- und steuerrechtlich von Bedeutung und wenn Buchungsbelege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0343C1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Visitenkarten </w:t>
            </w:r>
          </w:p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(z.B. auf Messen bekommen)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Keine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Wareneingangs- und Warenausgangsbücher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Wechsel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Zahlungsanweisungen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Zollbelege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Zugriffsregelungen bei EDV-Buchführung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  <w:tr w:rsidR="00D9084E" w:rsidRPr="00D9084E" w:rsidTr="00D9084E">
        <w:trPr>
          <w:trHeight w:val="288"/>
        </w:trPr>
        <w:tc>
          <w:tcPr>
            <w:tcW w:w="4957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Zwischenbilanz (bei Gesellschafterwechsel oder Umstellung des Wirtschaftsjahres)</w:t>
            </w:r>
          </w:p>
        </w:tc>
        <w:tc>
          <w:tcPr>
            <w:tcW w:w="2551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10 Jahre</w:t>
            </w:r>
          </w:p>
        </w:tc>
        <w:tc>
          <w:tcPr>
            <w:tcW w:w="2120" w:type="dxa"/>
            <w:noWrap/>
            <w:hideMark/>
          </w:tcPr>
          <w:p w:rsidR="00D9084E" w:rsidRPr="00D9084E" w:rsidRDefault="00D9084E" w:rsidP="00D9084E">
            <w:pPr>
              <w:widowControl/>
              <w:suppressAutoHyphens w:val="0"/>
              <w:autoSpaceDN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D9084E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§ 147 AO, § 257 HGB</w:t>
            </w:r>
          </w:p>
        </w:tc>
      </w:tr>
    </w:tbl>
    <w:p w:rsidR="00D9084E" w:rsidRDefault="00D9084E" w:rsidP="00636A51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B77077" w:rsidRDefault="00B77077">
      <w:pPr>
        <w:rPr>
          <w:rFonts w:eastAsia="Times New Roman" w:cs="Arial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sectPr w:rsidR="00B77077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5A" w:rsidRDefault="00D2085A">
      <w:r>
        <w:separator/>
      </w:r>
    </w:p>
  </w:endnote>
  <w:endnote w:type="continuationSeparator" w:id="0">
    <w:p w:rsidR="00D2085A" w:rsidRDefault="00D2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2386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Heading"/>
          </w:pPr>
          <w:r>
            <w:t>Revision</w:t>
          </w:r>
        </w:p>
      </w:tc>
    </w:tr>
    <w:tr w:rsidR="00F2386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2386B" w:rsidRDefault="00F2386B">
          <w:pPr>
            <w:pStyle w:val="TableContents"/>
            <w:jc w:val="center"/>
          </w:pPr>
          <w:r>
            <w:t>0</w:t>
          </w:r>
        </w:p>
      </w:tc>
    </w:tr>
  </w:tbl>
  <w:p w:rsidR="00F2386B" w:rsidRDefault="00F238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5A" w:rsidRDefault="00D2085A">
      <w:r>
        <w:rPr>
          <w:color w:val="000000"/>
        </w:rPr>
        <w:ptab w:relativeTo="margin" w:alignment="center" w:leader="none"/>
      </w:r>
    </w:p>
  </w:footnote>
  <w:footnote w:type="continuationSeparator" w:id="0">
    <w:p w:rsidR="00D2085A" w:rsidRDefault="00D2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7C1"/>
    <w:multiLevelType w:val="hybridMultilevel"/>
    <w:tmpl w:val="A00C5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76DB"/>
    <w:multiLevelType w:val="multilevel"/>
    <w:tmpl w:val="1E24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82F86"/>
    <w:multiLevelType w:val="hybridMultilevel"/>
    <w:tmpl w:val="BFCCA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64C2"/>
    <w:multiLevelType w:val="multilevel"/>
    <w:tmpl w:val="63D8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92140"/>
    <w:multiLevelType w:val="hybridMultilevel"/>
    <w:tmpl w:val="AC9EB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01299"/>
    <w:multiLevelType w:val="hybridMultilevel"/>
    <w:tmpl w:val="3D1A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82F52"/>
    <w:multiLevelType w:val="multilevel"/>
    <w:tmpl w:val="556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92195"/>
    <w:multiLevelType w:val="hybridMultilevel"/>
    <w:tmpl w:val="2E68C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55F6B"/>
    <w:multiLevelType w:val="multilevel"/>
    <w:tmpl w:val="9198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61856"/>
    <w:multiLevelType w:val="multilevel"/>
    <w:tmpl w:val="8E7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B3970"/>
    <w:multiLevelType w:val="multilevel"/>
    <w:tmpl w:val="93B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C5A91"/>
    <w:multiLevelType w:val="multilevel"/>
    <w:tmpl w:val="781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11DBA"/>
    <w:multiLevelType w:val="hybridMultilevel"/>
    <w:tmpl w:val="426ED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632"/>
    <w:multiLevelType w:val="hybridMultilevel"/>
    <w:tmpl w:val="3132C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144F8"/>
    <w:rsid w:val="00027D73"/>
    <w:rsid w:val="000343C1"/>
    <w:rsid w:val="000401D5"/>
    <w:rsid w:val="00051B2B"/>
    <w:rsid w:val="00054EB1"/>
    <w:rsid w:val="0006167F"/>
    <w:rsid w:val="0006192F"/>
    <w:rsid w:val="00073DDF"/>
    <w:rsid w:val="000A208B"/>
    <w:rsid w:val="000B14ED"/>
    <w:rsid w:val="000D0893"/>
    <w:rsid w:val="00101733"/>
    <w:rsid w:val="00112465"/>
    <w:rsid w:val="00114010"/>
    <w:rsid w:val="00134093"/>
    <w:rsid w:val="001361C3"/>
    <w:rsid w:val="0016531C"/>
    <w:rsid w:val="00172E53"/>
    <w:rsid w:val="0018116A"/>
    <w:rsid w:val="00197888"/>
    <w:rsid w:val="001A0407"/>
    <w:rsid w:val="0022551B"/>
    <w:rsid w:val="0024018B"/>
    <w:rsid w:val="00261610"/>
    <w:rsid w:val="002866B7"/>
    <w:rsid w:val="00292ABE"/>
    <w:rsid w:val="002A6A64"/>
    <w:rsid w:val="002B77EE"/>
    <w:rsid w:val="002C3853"/>
    <w:rsid w:val="002D2C3C"/>
    <w:rsid w:val="002E1358"/>
    <w:rsid w:val="002E239A"/>
    <w:rsid w:val="002F6155"/>
    <w:rsid w:val="003069E1"/>
    <w:rsid w:val="00314B81"/>
    <w:rsid w:val="00320798"/>
    <w:rsid w:val="00335099"/>
    <w:rsid w:val="00350126"/>
    <w:rsid w:val="00373095"/>
    <w:rsid w:val="00374483"/>
    <w:rsid w:val="00385DC7"/>
    <w:rsid w:val="003A3F35"/>
    <w:rsid w:val="003A51EA"/>
    <w:rsid w:val="003D624A"/>
    <w:rsid w:val="003D7D36"/>
    <w:rsid w:val="003E2E91"/>
    <w:rsid w:val="003E4114"/>
    <w:rsid w:val="00404BDB"/>
    <w:rsid w:val="00414B0E"/>
    <w:rsid w:val="00423768"/>
    <w:rsid w:val="00431D4E"/>
    <w:rsid w:val="00437C7A"/>
    <w:rsid w:val="0045408E"/>
    <w:rsid w:val="004549BF"/>
    <w:rsid w:val="00456511"/>
    <w:rsid w:val="00471181"/>
    <w:rsid w:val="004712D4"/>
    <w:rsid w:val="00472F55"/>
    <w:rsid w:val="00493F6C"/>
    <w:rsid w:val="004B0058"/>
    <w:rsid w:val="004B07B0"/>
    <w:rsid w:val="004D3818"/>
    <w:rsid w:val="004E414D"/>
    <w:rsid w:val="004E7BD6"/>
    <w:rsid w:val="004F596A"/>
    <w:rsid w:val="005352A7"/>
    <w:rsid w:val="00547679"/>
    <w:rsid w:val="00554DF4"/>
    <w:rsid w:val="00566DE0"/>
    <w:rsid w:val="00587BF1"/>
    <w:rsid w:val="00592B27"/>
    <w:rsid w:val="005A1204"/>
    <w:rsid w:val="005E11C5"/>
    <w:rsid w:val="005E3F8E"/>
    <w:rsid w:val="005E6213"/>
    <w:rsid w:val="006013BE"/>
    <w:rsid w:val="006023E3"/>
    <w:rsid w:val="00621130"/>
    <w:rsid w:val="00636A51"/>
    <w:rsid w:val="00650FA2"/>
    <w:rsid w:val="006756C5"/>
    <w:rsid w:val="00675B95"/>
    <w:rsid w:val="006928F3"/>
    <w:rsid w:val="006C3AAB"/>
    <w:rsid w:val="006E0F16"/>
    <w:rsid w:val="006E7D57"/>
    <w:rsid w:val="006F57FE"/>
    <w:rsid w:val="00736A03"/>
    <w:rsid w:val="00741101"/>
    <w:rsid w:val="00750041"/>
    <w:rsid w:val="00753374"/>
    <w:rsid w:val="00755967"/>
    <w:rsid w:val="007B0CE0"/>
    <w:rsid w:val="007B1CA5"/>
    <w:rsid w:val="007D7136"/>
    <w:rsid w:val="007F2BFE"/>
    <w:rsid w:val="008000A9"/>
    <w:rsid w:val="008026C5"/>
    <w:rsid w:val="00805313"/>
    <w:rsid w:val="00807174"/>
    <w:rsid w:val="008072A1"/>
    <w:rsid w:val="00810C11"/>
    <w:rsid w:val="0081330F"/>
    <w:rsid w:val="00837DF2"/>
    <w:rsid w:val="0085655A"/>
    <w:rsid w:val="008847A4"/>
    <w:rsid w:val="00893541"/>
    <w:rsid w:val="008B2B8A"/>
    <w:rsid w:val="008C3B00"/>
    <w:rsid w:val="008E1600"/>
    <w:rsid w:val="00945829"/>
    <w:rsid w:val="00993E06"/>
    <w:rsid w:val="009B6A8B"/>
    <w:rsid w:val="009D6CB3"/>
    <w:rsid w:val="00A00210"/>
    <w:rsid w:val="00A029FE"/>
    <w:rsid w:val="00A12AA0"/>
    <w:rsid w:val="00A26BD3"/>
    <w:rsid w:val="00A311EB"/>
    <w:rsid w:val="00A404B1"/>
    <w:rsid w:val="00A622CE"/>
    <w:rsid w:val="00A6525B"/>
    <w:rsid w:val="00A9080C"/>
    <w:rsid w:val="00AC35F6"/>
    <w:rsid w:val="00AF4626"/>
    <w:rsid w:val="00AF708F"/>
    <w:rsid w:val="00B000E9"/>
    <w:rsid w:val="00B0110F"/>
    <w:rsid w:val="00B0361F"/>
    <w:rsid w:val="00B0661A"/>
    <w:rsid w:val="00B1010D"/>
    <w:rsid w:val="00B21AE4"/>
    <w:rsid w:val="00B2323F"/>
    <w:rsid w:val="00B366C7"/>
    <w:rsid w:val="00B7086E"/>
    <w:rsid w:val="00B717CA"/>
    <w:rsid w:val="00B71E73"/>
    <w:rsid w:val="00B77077"/>
    <w:rsid w:val="00B87F48"/>
    <w:rsid w:val="00B92767"/>
    <w:rsid w:val="00B96989"/>
    <w:rsid w:val="00BB6FBD"/>
    <w:rsid w:val="00BD6AE4"/>
    <w:rsid w:val="00BF1DC2"/>
    <w:rsid w:val="00BF43A1"/>
    <w:rsid w:val="00C22631"/>
    <w:rsid w:val="00C24163"/>
    <w:rsid w:val="00C262D1"/>
    <w:rsid w:val="00C32D82"/>
    <w:rsid w:val="00C524AF"/>
    <w:rsid w:val="00C605B6"/>
    <w:rsid w:val="00C67D42"/>
    <w:rsid w:val="00C81258"/>
    <w:rsid w:val="00CB4283"/>
    <w:rsid w:val="00CC6CAE"/>
    <w:rsid w:val="00CF50F4"/>
    <w:rsid w:val="00D028C8"/>
    <w:rsid w:val="00D2085A"/>
    <w:rsid w:val="00D41D66"/>
    <w:rsid w:val="00D54A8B"/>
    <w:rsid w:val="00D85CF2"/>
    <w:rsid w:val="00D8691B"/>
    <w:rsid w:val="00D9084E"/>
    <w:rsid w:val="00DA6C68"/>
    <w:rsid w:val="00DC11F0"/>
    <w:rsid w:val="00DD1C6D"/>
    <w:rsid w:val="00DD784E"/>
    <w:rsid w:val="00DE34F3"/>
    <w:rsid w:val="00E02634"/>
    <w:rsid w:val="00E36CD4"/>
    <w:rsid w:val="00E452F7"/>
    <w:rsid w:val="00E63251"/>
    <w:rsid w:val="00E674E2"/>
    <w:rsid w:val="00E71353"/>
    <w:rsid w:val="00E9374A"/>
    <w:rsid w:val="00EE450F"/>
    <w:rsid w:val="00EF1A47"/>
    <w:rsid w:val="00F01C5B"/>
    <w:rsid w:val="00F071AF"/>
    <w:rsid w:val="00F2386B"/>
    <w:rsid w:val="00F3740B"/>
    <w:rsid w:val="00F718BA"/>
    <w:rsid w:val="00F751C7"/>
    <w:rsid w:val="00F918EC"/>
    <w:rsid w:val="00F94266"/>
    <w:rsid w:val="00FA0439"/>
    <w:rsid w:val="00FB10BB"/>
    <w:rsid w:val="00FC7B83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707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14B0E"/>
    <w:rPr>
      <w:b/>
      <w:bCs/>
    </w:rPr>
  </w:style>
  <w:style w:type="paragraph" w:styleId="StandardWeb">
    <w:name w:val="Normal (Web)"/>
    <w:basedOn w:val="Standard"/>
    <w:uiPriority w:val="99"/>
    <w:unhideWhenUsed/>
    <w:rsid w:val="00414B0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7077"/>
    <w:rPr>
      <w:rFonts w:asciiTheme="majorHAnsi" w:eastAsiaTheme="majorEastAsia" w:hAnsiTheme="majorHAnsi" w:cs="Mangal"/>
      <w:color w:val="1F4D78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098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19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2019-02-18T20:12:00Z</dcterms:created>
  <dcterms:modified xsi:type="dcterms:W3CDTF">2019-02-18T20:12:00Z</dcterms:modified>
</cp:coreProperties>
</file>